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1826" w14:textId="77777777" w:rsidR="00FF19E4" w:rsidRPr="00FF19E4" w:rsidRDefault="00FF19E4" w:rsidP="00BC1021">
      <w:pPr>
        <w:pStyle w:val="Bezodstpw"/>
        <w:spacing w:line="276" w:lineRule="auto"/>
        <w:rPr>
          <w:rFonts w:ascii="Arial" w:hAnsi="Arial" w:cs="Arial"/>
          <w:sz w:val="22"/>
          <w:szCs w:val="22"/>
          <w:lang w:val="en-GB"/>
        </w:rPr>
      </w:pPr>
      <w:r w:rsidRPr="00FF19E4">
        <w:rPr>
          <w:rFonts w:ascii="Arial" w:hAnsi="Arial" w:cs="Arial"/>
          <w:sz w:val="22"/>
          <w:szCs w:val="22"/>
          <w:lang w:val="en-GB"/>
        </w:rPr>
        <w:t xml:space="preserve">Prof. </w:t>
      </w:r>
      <w:proofErr w:type="spellStart"/>
      <w:r w:rsidRPr="00FF19E4">
        <w:rPr>
          <w:rFonts w:ascii="Arial" w:hAnsi="Arial" w:cs="Arial"/>
          <w:sz w:val="22"/>
          <w:szCs w:val="22"/>
          <w:lang w:val="en-GB"/>
        </w:rPr>
        <w:t>JUDr</w:t>
      </w:r>
      <w:proofErr w:type="spellEnd"/>
      <w:r w:rsidRPr="00FF19E4">
        <w:rPr>
          <w:rFonts w:ascii="Arial" w:hAnsi="Arial" w:cs="Arial"/>
          <w:sz w:val="22"/>
          <w:szCs w:val="22"/>
          <w:lang w:val="en-GB"/>
        </w:rPr>
        <w:t xml:space="preserve">. </w:t>
      </w:r>
      <w:proofErr w:type="spellStart"/>
      <w:r w:rsidRPr="00FF19E4">
        <w:rPr>
          <w:rFonts w:ascii="Arial" w:hAnsi="Arial" w:cs="Arial"/>
          <w:sz w:val="22"/>
          <w:szCs w:val="22"/>
          <w:lang w:val="en-GB"/>
        </w:rPr>
        <w:t>CSc</w:t>
      </w:r>
      <w:proofErr w:type="spellEnd"/>
      <w:r w:rsidRPr="00FF19E4">
        <w:rPr>
          <w:rFonts w:ascii="Arial" w:hAnsi="Arial" w:cs="Arial"/>
          <w:sz w:val="22"/>
          <w:szCs w:val="22"/>
          <w:lang w:val="en-GB"/>
        </w:rPr>
        <w:t>. Hana Marková</w:t>
      </w:r>
    </w:p>
    <w:p w14:paraId="75E733A9" w14:textId="19FF0A2A" w:rsidR="006B0427" w:rsidRDefault="006B0427" w:rsidP="00BC1021">
      <w:pPr>
        <w:pStyle w:val="Bezodstpw"/>
        <w:spacing w:line="276" w:lineRule="auto"/>
        <w:rPr>
          <w:rFonts w:ascii="Arial" w:hAnsi="Arial" w:cs="Arial"/>
          <w:sz w:val="22"/>
          <w:szCs w:val="22"/>
          <w:lang w:val="en-GB"/>
        </w:rPr>
      </w:pPr>
      <w:proofErr w:type="spellStart"/>
      <w:r w:rsidRPr="00FF19E4">
        <w:rPr>
          <w:rFonts w:ascii="Arial" w:hAnsi="Arial" w:cs="Arial"/>
          <w:sz w:val="22"/>
          <w:szCs w:val="22"/>
          <w:lang w:val="en-GB"/>
        </w:rPr>
        <w:t>Právnická</w:t>
      </w:r>
      <w:proofErr w:type="spellEnd"/>
      <w:r w:rsidRPr="00FF19E4">
        <w:rPr>
          <w:rFonts w:ascii="Arial" w:hAnsi="Arial" w:cs="Arial"/>
          <w:sz w:val="22"/>
          <w:szCs w:val="22"/>
          <w:lang w:val="en-GB"/>
        </w:rPr>
        <w:t xml:space="preserve"> </w:t>
      </w:r>
      <w:proofErr w:type="spellStart"/>
      <w:r>
        <w:rPr>
          <w:rFonts w:ascii="Arial" w:hAnsi="Arial" w:cs="Arial"/>
          <w:sz w:val="22"/>
          <w:szCs w:val="22"/>
          <w:lang w:val="en-GB"/>
        </w:rPr>
        <w:t>F</w:t>
      </w:r>
      <w:r w:rsidRPr="00FF19E4">
        <w:rPr>
          <w:rFonts w:ascii="Arial" w:hAnsi="Arial" w:cs="Arial"/>
          <w:sz w:val="22"/>
          <w:szCs w:val="22"/>
          <w:lang w:val="en-GB"/>
        </w:rPr>
        <w:t>akulta</w:t>
      </w:r>
      <w:proofErr w:type="spellEnd"/>
    </w:p>
    <w:p w14:paraId="0140CA08" w14:textId="33343BCF" w:rsidR="00FF19E4" w:rsidRPr="00FF19E4" w:rsidRDefault="00FF19E4" w:rsidP="00BC1021">
      <w:pPr>
        <w:pStyle w:val="Bezodstpw"/>
        <w:spacing w:line="276" w:lineRule="auto"/>
        <w:rPr>
          <w:rFonts w:ascii="Arial" w:hAnsi="Arial" w:cs="Arial"/>
          <w:sz w:val="22"/>
          <w:szCs w:val="22"/>
          <w:lang w:val="en-GB"/>
        </w:rPr>
      </w:pPr>
      <w:proofErr w:type="spellStart"/>
      <w:r w:rsidRPr="00FF19E4">
        <w:rPr>
          <w:rFonts w:ascii="Arial" w:hAnsi="Arial" w:cs="Arial"/>
          <w:sz w:val="22"/>
          <w:szCs w:val="22"/>
          <w:lang w:val="en-GB"/>
        </w:rPr>
        <w:t>Univerzita</w:t>
      </w:r>
      <w:proofErr w:type="spellEnd"/>
      <w:r w:rsidRPr="00FF19E4">
        <w:rPr>
          <w:rFonts w:ascii="Arial" w:hAnsi="Arial" w:cs="Arial"/>
          <w:sz w:val="22"/>
          <w:szCs w:val="22"/>
          <w:lang w:val="en-GB"/>
        </w:rPr>
        <w:t xml:space="preserve"> </w:t>
      </w:r>
      <w:proofErr w:type="spellStart"/>
      <w:r w:rsidRPr="00FF19E4">
        <w:rPr>
          <w:rFonts w:ascii="Arial" w:hAnsi="Arial" w:cs="Arial"/>
          <w:sz w:val="22"/>
          <w:szCs w:val="22"/>
          <w:lang w:val="en-GB"/>
        </w:rPr>
        <w:t>Karlova</w:t>
      </w:r>
      <w:proofErr w:type="spellEnd"/>
      <w:r w:rsidRPr="00FF19E4">
        <w:rPr>
          <w:rFonts w:ascii="Arial" w:hAnsi="Arial" w:cs="Arial"/>
          <w:sz w:val="22"/>
          <w:szCs w:val="22"/>
          <w:lang w:val="en-GB"/>
        </w:rPr>
        <w:t xml:space="preserve"> v </w:t>
      </w:r>
      <w:proofErr w:type="spellStart"/>
      <w:r w:rsidRPr="00FF19E4">
        <w:rPr>
          <w:rFonts w:ascii="Arial" w:hAnsi="Arial" w:cs="Arial"/>
          <w:sz w:val="22"/>
          <w:szCs w:val="22"/>
          <w:lang w:val="en-GB"/>
        </w:rPr>
        <w:t>Praze</w:t>
      </w:r>
      <w:proofErr w:type="spellEnd"/>
    </w:p>
    <w:p w14:paraId="621C9D7F" w14:textId="77777777" w:rsidR="00FF19E4" w:rsidRPr="00FF19E4" w:rsidRDefault="00FF19E4" w:rsidP="00BC1021">
      <w:pPr>
        <w:pStyle w:val="Bezodstpw"/>
        <w:spacing w:line="276" w:lineRule="auto"/>
        <w:rPr>
          <w:rFonts w:ascii="Arial" w:hAnsi="Arial" w:cs="Arial"/>
          <w:sz w:val="22"/>
          <w:szCs w:val="22"/>
          <w:lang w:val="en-GB"/>
        </w:rPr>
      </w:pPr>
    </w:p>
    <w:p w14:paraId="7EC2380B" w14:textId="4C439833" w:rsidR="00FF19E4" w:rsidRPr="00BC1021" w:rsidRDefault="00FF19E4" w:rsidP="00BC1021">
      <w:pPr>
        <w:pStyle w:val="Nagwek1"/>
        <w:spacing w:before="0" w:line="276" w:lineRule="auto"/>
        <w:rPr>
          <w:rFonts w:ascii="Arial" w:hAnsi="Arial" w:cs="Arial"/>
          <w:b/>
          <w:bCs/>
          <w:lang w:val="en-GB"/>
        </w:rPr>
      </w:pPr>
      <w:r w:rsidRPr="00BC1021">
        <w:rPr>
          <w:rFonts w:ascii="Arial" w:hAnsi="Arial" w:cs="Arial"/>
          <w:b/>
          <w:bCs/>
          <w:color w:val="auto"/>
          <w:sz w:val="22"/>
          <w:szCs w:val="22"/>
          <w:lang w:val="en-GB"/>
        </w:rPr>
        <w:t xml:space="preserve">Tax policy and </w:t>
      </w:r>
      <w:r w:rsidR="00BC1021">
        <w:rPr>
          <w:rFonts w:ascii="Arial" w:hAnsi="Arial" w:cs="Arial"/>
          <w:b/>
          <w:bCs/>
          <w:color w:val="auto"/>
          <w:sz w:val="22"/>
          <w:szCs w:val="22"/>
          <w:lang w:val="en-GB"/>
        </w:rPr>
        <w:t>b</w:t>
      </w:r>
      <w:r w:rsidRPr="00BC1021">
        <w:rPr>
          <w:rFonts w:ascii="Arial" w:hAnsi="Arial" w:cs="Arial"/>
          <w:b/>
          <w:bCs/>
          <w:color w:val="auto"/>
          <w:sz w:val="22"/>
          <w:szCs w:val="22"/>
          <w:lang w:val="en-GB"/>
        </w:rPr>
        <w:t xml:space="preserve">udged </w:t>
      </w:r>
      <w:r w:rsidR="00BC1021">
        <w:rPr>
          <w:rFonts w:ascii="Arial" w:hAnsi="Arial" w:cs="Arial"/>
          <w:b/>
          <w:bCs/>
          <w:color w:val="auto"/>
          <w:sz w:val="22"/>
          <w:szCs w:val="22"/>
          <w:lang w:val="en-GB"/>
        </w:rPr>
        <w:t>l</w:t>
      </w:r>
      <w:r w:rsidRPr="00BC1021">
        <w:rPr>
          <w:rFonts w:ascii="Arial" w:hAnsi="Arial" w:cs="Arial"/>
          <w:b/>
          <w:bCs/>
          <w:color w:val="auto"/>
          <w:sz w:val="22"/>
          <w:szCs w:val="22"/>
          <w:lang w:val="en-GB"/>
        </w:rPr>
        <w:t xml:space="preserve">aw in the </w:t>
      </w:r>
      <w:r w:rsidR="00BC1021">
        <w:rPr>
          <w:rFonts w:ascii="Arial" w:hAnsi="Arial" w:cs="Arial"/>
          <w:b/>
          <w:bCs/>
          <w:color w:val="auto"/>
          <w:sz w:val="22"/>
          <w:szCs w:val="22"/>
          <w:lang w:val="en-GB"/>
        </w:rPr>
        <w:t>c</w:t>
      </w:r>
      <w:r w:rsidRPr="00BC1021">
        <w:rPr>
          <w:rFonts w:ascii="Arial" w:hAnsi="Arial" w:cs="Arial"/>
          <w:b/>
          <w:bCs/>
          <w:color w:val="auto"/>
          <w:sz w:val="22"/>
          <w:szCs w:val="22"/>
          <w:lang w:val="en-GB"/>
        </w:rPr>
        <w:t xml:space="preserve">onditions of </w:t>
      </w:r>
      <w:r w:rsidR="00BC1021">
        <w:rPr>
          <w:rFonts w:ascii="Arial" w:hAnsi="Arial" w:cs="Arial"/>
          <w:b/>
          <w:bCs/>
          <w:color w:val="auto"/>
          <w:sz w:val="22"/>
          <w:szCs w:val="22"/>
          <w:lang w:val="en-GB"/>
        </w:rPr>
        <w:t>m</w:t>
      </w:r>
      <w:r w:rsidRPr="00BC1021">
        <w:rPr>
          <w:rFonts w:ascii="Arial" w:hAnsi="Arial" w:cs="Arial"/>
          <w:b/>
          <w:bCs/>
          <w:color w:val="auto"/>
          <w:sz w:val="22"/>
          <w:szCs w:val="22"/>
          <w:lang w:val="en-GB"/>
        </w:rPr>
        <w:t>unicipalities in the Czech Republic</w:t>
      </w:r>
    </w:p>
    <w:p w14:paraId="5949454C" w14:textId="77777777" w:rsidR="00FF19E4" w:rsidRPr="00FF19E4" w:rsidRDefault="00FF19E4" w:rsidP="00BC1021">
      <w:pPr>
        <w:pStyle w:val="Bezodstpw"/>
        <w:spacing w:line="276" w:lineRule="auto"/>
        <w:rPr>
          <w:rFonts w:ascii="Arial" w:hAnsi="Arial" w:cs="Arial"/>
          <w:sz w:val="22"/>
          <w:szCs w:val="22"/>
          <w:lang w:val="en-GB"/>
        </w:rPr>
      </w:pPr>
    </w:p>
    <w:p w14:paraId="25B3C8FE" w14:textId="1114CBBA" w:rsidR="00443C52" w:rsidRPr="00FF19E4" w:rsidRDefault="00000000" w:rsidP="00BC1021">
      <w:pPr>
        <w:pStyle w:val="Bezodstpw"/>
        <w:spacing w:line="276" w:lineRule="auto"/>
        <w:ind w:firstLine="709"/>
        <w:rPr>
          <w:rFonts w:ascii="Arial" w:hAnsi="Arial" w:cs="Arial"/>
          <w:sz w:val="22"/>
          <w:szCs w:val="22"/>
        </w:rPr>
      </w:pPr>
      <w:r w:rsidRPr="00FF19E4">
        <w:rPr>
          <w:rFonts w:ascii="Arial" w:hAnsi="Arial" w:cs="Arial"/>
          <w:sz w:val="22"/>
          <w:szCs w:val="22"/>
          <w:lang w:val="en-GB"/>
        </w:rPr>
        <w:t xml:space="preserve">The level of tax administration in the Czech Republic - the prescription, collection and enforcement of tax obligations - influences the amount of funds transferred to the municipal budget. Tax revenues are one of the revenues of the municipal budget, along with subsidies, local fees, rental income and other revenues from the municipality's own activities. </w:t>
      </w:r>
      <w:r w:rsidR="00FF19E4" w:rsidRPr="00FF19E4">
        <w:rPr>
          <w:rFonts w:ascii="Arial" w:hAnsi="Arial" w:cs="Arial" w:hint="eastAsia"/>
          <w:sz w:val="22"/>
          <w:szCs w:val="22"/>
          <w:lang w:val="en-GB"/>
        </w:rPr>
        <w:t xml:space="preserve">The above mentioned </w:t>
      </w:r>
      <w:r w:rsidRPr="00FF19E4">
        <w:rPr>
          <w:rFonts w:ascii="Arial" w:hAnsi="Arial" w:cs="Arial"/>
          <w:sz w:val="22"/>
          <w:szCs w:val="22"/>
          <w:lang w:val="en-GB"/>
        </w:rPr>
        <w:t>taxes are the strongest income which can assist subsidies in certain times. Unlike the designated taxes subsidies are not under a legal entitlement. Municipalities can influence the proceeds of shared and assigned taxes only indirectly; the only source of revenues - that local authorities can affect within the framework of the statutory rules - is the proceeds of local taxes.</w:t>
      </w:r>
    </w:p>
    <w:sectPr w:rsidR="00443C52" w:rsidRPr="00FF19E4" w:rsidSect="00BC1021">
      <w:pgSz w:w="11906" w:h="16838"/>
      <w:pgMar w:top="1418" w:right="1418" w:bottom="1418" w:left="1418"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52"/>
    <w:rsid w:val="00443C52"/>
    <w:rsid w:val="006B0427"/>
    <w:rsid w:val="00BC1021"/>
    <w:rsid w:val="00FF1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7046"/>
  <w15:docId w15:val="{52E9DCF2-DD47-44B5-9122-F42E3E0F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C1021"/>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dpis">
    <w:name w:val="Nadpis"/>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Rejstk">
    <w:name w:val="Rejstřík"/>
    <w:basedOn w:val="Normalny"/>
    <w:qFormat/>
    <w:pPr>
      <w:suppressLineNumbers/>
    </w:pPr>
  </w:style>
  <w:style w:type="paragraph" w:styleId="Bezodstpw">
    <w:name w:val="No Spacing"/>
    <w:uiPriority w:val="1"/>
    <w:qFormat/>
    <w:rsid w:val="00FF19E4"/>
    <w:rPr>
      <w:rFonts w:cs="Mangal"/>
      <w:szCs w:val="21"/>
    </w:rPr>
  </w:style>
  <w:style w:type="character" w:customStyle="1" w:styleId="Nagwek1Znak">
    <w:name w:val="Nagłówek 1 Znak"/>
    <w:basedOn w:val="Domylnaczcionkaakapitu"/>
    <w:link w:val="Nagwek1"/>
    <w:uiPriority w:val="9"/>
    <w:rsid w:val="00BC1021"/>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788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Bartłomiej Suchodolski</cp:lastModifiedBy>
  <cp:revision>7</cp:revision>
  <dcterms:created xsi:type="dcterms:W3CDTF">2023-08-14T14:15:00Z</dcterms:created>
  <dcterms:modified xsi:type="dcterms:W3CDTF">2023-11-19T13:21:00Z</dcterms:modified>
  <dc:language>cs-CZ</dc:language>
</cp:coreProperties>
</file>